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9D2" w:rsidRPr="00B131E1" w:rsidRDefault="006C59D2" w:rsidP="00B131E1">
      <w:pPr>
        <w:spacing w:after="0" w:line="240" w:lineRule="auto"/>
        <w:jc w:val="center"/>
        <w:rPr>
          <w:b/>
        </w:rPr>
      </w:pPr>
      <w:r w:rsidRPr="00B131E1">
        <w:rPr>
          <w:b/>
        </w:rPr>
        <w:t xml:space="preserve">Identify Candidate Questions/Challenges for </w:t>
      </w:r>
    </w:p>
    <w:p w:rsidR="003D1A83" w:rsidRDefault="006C59D2" w:rsidP="00B131E1">
      <w:pPr>
        <w:spacing w:after="0" w:line="240" w:lineRule="auto"/>
        <w:jc w:val="center"/>
      </w:pPr>
      <w:r w:rsidRPr="00B131E1">
        <w:rPr>
          <w:b/>
        </w:rPr>
        <w:t>Learning Sciences Research in the 2020 Time Frame</w:t>
      </w:r>
    </w:p>
    <w:p w:rsidR="006C59D2" w:rsidRDefault="00A927A7" w:rsidP="00B131E1">
      <w:pPr>
        <w:spacing w:after="0" w:line="240" w:lineRule="auto"/>
        <w:ind w:firstLine="720"/>
      </w:pPr>
      <w:r>
        <w:t>W</w:t>
      </w:r>
      <w:r w:rsidR="005752B8">
        <w:t xml:space="preserve">e </w:t>
      </w:r>
      <w:r>
        <w:t xml:space="preserve">provide an overview of the </w:t>
      </w:r>
      <w:r w:rsidR="005752B8">
        <w:t xml:space="preserve">challenges </w:t>
      </w:r>
      <w:r w:rsidR="00927E1C">
        <w:t>and opportunities in learning sciences research</w:t>
      </w:r>
      <w:r w:rsidR="005752B8">
        <w:t xml:space="preserve">. </w:t>
      </w:r>
      <w:r>
        <w:t xml:space="preserve">In this section, we limit our discussion to the theoretical, </w:t>
      </w:r>
      <w:r w:rsidR="00681C94">
        <w:t xml:space="preserve">conceptual, methodological, </w:t>
      </w:r>
      <w:r>
        <w:t>analytical</w:t>
      </w:r>
      <w:r w:rsidR="00681C94">
        <w:t>, and logical</w:t>
      </w:r>
      <w:r>
        <w:t xml:space="preserve"> issues</w:t>
      </w:r>
      <w:r w:rsidR="00927E1C">
        <w:t xml:space="preserve"> concerning the existing </w:t>
      </w:r>
      <w:r>
        <w:t xml:space="preserve">research on learning </w:t>
      </w:r>
      <w:r w:rsidR="00927E1C">
        <w:t>with</w:t>
      </w:r>
      <w:r>
        <w:t xml:space="preserve"> technology-rich learning environments.</w:t>
      </w:r>
      <w:r w:rsidR="00927E1C">
        <w:t xml:space="preserve"> Technology-rich learning environments refer to any type of learning environment where technology is used as a means to assist learners in achieving instructional goals (Lajoie &amp; Azevedo, 2006).</w:t>
      </w:r>
      <w:r w:rsidR="00524DE6">
        <w:t xml:space="preserve"> Future research </w:t>
      </w:r>
      <w:r w:rsidR="00681C94">
        <w:t xml:space="preserve">in this area </w:t>
      </w:r>
      <w:r w:rsidR="00524DE6">
        <w:t>needs</w:t>
      </w:r>
      <w:r w:rsidR="00681C94">
        <w:t xml:space="preserve"> to adress the following issues</w:t>
      </w:r>
      <w:r w:rsidR="00524DE6">
        <w:t>:</w:t>
      </w:r>
      <w:r w:rsidR="005752B8">
        <w:t xml:space="preserve"> </w:t>
      </w:r>
      <w:r w:rsidR="00524DE6">
        <w:t>(a) formulate overarch</w:t>
      </w:r>
      <w:r w:rsidR="00681C94">
        <w:t>ing theoretical frameworks, (b)</w:t>
      </w:r>
      <w:r w:rsidR="001C1C21">
        <w:t xml:space="preserve"> </w:t>
      </w:r>
      <w:r w:rsidR="002753EC">
        <w:t>regard mental processes as events</w:t>
      </w:r>
      <w:r w:rsidR="001C1C21">
        <w:t xml:space="preserve"> rather than aptitudes, (c)</w:t>
      </w:r>
      <w:r w:rsidR="00681C94">
        <w:t xml:space="preserve"> use mixed methods combined with concurrent measures to gather process and product data </w:t>
      </w:r>
      <w:r w:rsidR="002753EC">
        <w:t xml:space="preserve">in regards to the </w:t>
      </w:r>
      <w:r w:rsidR="00681C94">
        <w:t xml:space="preserve">trajectory toward competence in using </w:t>
      </w:r>
      <w:r w:rsidR="002753EC">
        <w:t>such processes</w:t>
      </w:r>
      <w:r w:rsidR="00681C94">
        <w:t xml:space="preserve">, (d) specify statistical analyses </w:t>
      </w:r>
      <w:r w:rsidR="002753EC">
        <w:t>capable of generating inferences regarding the deployment of these processes and how they influence learning</w:t>
      </w:r>
      <w:r w:rsidR="00681C94">
        <w:t xml:space="preserve">, (e) </w:t>
      </w:r>
      <w:r w:rsidR="002753EC">
        <w:t xml:space="preserve">outline the rationale for </w:t>
      </w:r>
      <w:r w:rsidR="00681C94">
        <w:t>deriving theoretically- and empirically-based design guidelines.</w:t>
      </w:r>
    </w:p>
    <w:p w:rsidR="00FE1D32" w:rsidRDefault="00524DE6" w:rsidP="00B131E1">
      <w:pPr>
        <w:spacing w:after="0" w:line="240" w:lineRule="auto"/>
        <w:ind w:firstLine="720"/>
      </w:pPr>
      <w:r>
        <w:t>E</w:t>
      </w:r>
      <w:r w:rsidR="005752B8">
        <w:t>xisting theories in the learning sciences specify different types of knowledge and processes (Schraw, 2006) in order to better understand the complex nature of learning</w:t>
      </w:r>
      <w:r>
        <w:t xml:space="preserve"> across domains</w:t>
      </w:r>
      <w:r w:rsidR="005752B8">
        <w:t>.</w:t>
      </w:r>
      <w:r>
        <w:t xml:space="preserve"> We recommend </w:t>
      </w:r>
      <w:r w:rsidR="001C1C21">
        <w:t>formulating</w:t>
      </w:r>
      <w:r>
        <w:t xml:space="preserve"> unified theories</w:t>
      </w:r>
      <w:r w:rsidR="001C1C21">
        <w:t xml:space="preserve"> to </w:t>
      </w:r>
      <w:r w:rsidR="00927E1C">
        <w:t>formulate</w:t>
      </w:r>
      <w:r>
        <w:t xml:space="preserve"> testable hypotheses </w:t>
      </w:r>
      <w:r w:rsidR="001C1C21">
        <w:t>and predictions that generalize across domains</w:t>
      </w:r>
      <w:r>
        <w:t xml:space="preserve"> (</w:t>
      </w:r>
      <w:r w:rsidR="001C1C21">
        <w:t xml:space="preserve">see </w:t>
      </w:r>
      <w:r>
        <w:t>Azevedo, 2009).</w:t>
      </w:r>
    </w:p>
    <w:p w:rsidR="00687ED3" w:rsidRDefault="001C1C21" w:rsidP="00B131E1">
      <w:pPr>
        <w:spacing w:after="0" w:line="240" w:lineRule="auto"/>
      </w:pPr>
      <w:r>
        <w:tab/>
      </w:r>
      <w:r w:rsidR="002753EC">
        <w:t>In order to derive process-oriented models that can guide the design of technology-rich learning environments, researchers should conceptualize theoretical constructs as events rather than aptitudes</w:t>
      </w:r>
      <w:r w:rsidR="00D64334">
        <w:t xml:space="preserve">. </w:t>
      </w:r>
      <w:r w:rsidR="002753EC">
        <w:t xml:space="preserve">Once we conceive of mental </w:t>
      </w:r>
      <w:r w:rsidR="00D64334">
        <w:t>processes as event</w:t>
      </w:r>
      <w:r w:rsidR="002753EC">
        <w:t>s</w:t>
      </w:r>
      <w:r w:rsidR="00D64334">
        <w:t xml:space="preserve"> rathe</w:t>
      </w:r>
      <w:r w:rsidR="00681C94">
        <w:t>r than aptitude</w:t>
      </w:r>
      <w:r w:rsidR="002753EC">
        <w:t xml:space="preserve">s, </w:t>
      </w:r>
      <w:r w:rsidR="00681C94">
        <w:t xml:space="preserve">we can capture, trace, and analyze </w:t>
      </w:r>
      <w:r w:rsidR="002753EC">
        <w:t>them as they occur through time</w:t>
      </w:r>
      <w:r w:rsidR="00681C94">
        <w:t xml:space="preserve"> (Azevedo, 2009).</w:t>
      </w:r>
    </w:p>
    <w:p w:rsidR="00C97330" w:rsidRDefault="00C97330" w:rsidP="00B131E1">
      <w:pPr>
        <w:spacing w:after="0" w:line="240" w:lineRule="auto"/>
      </w:pPr>
      <w:r>
        <w:tab/>
        <w:t>Mapping the trajectory towards competence in learning through performing authentic tasks enables researchers to design scaffolding mechanisms that integrate assessment and instruction along this trajectory (Lajoie, 2009). In order to capture the mental processes that mediate the transition from novice to expert, empirical research should follow mixed methods combined with concurrent measures to gather both process and product data (Azevedo, 2009).</w:t>
      </w:r>
    </w:p>
    <w:p w:rsidR="00C97330" w:rsidRDefault="00C97330" w:rsidP="00B131E1">
      <w:pPr>
        <w:spacing w:after="0" w:line="240" w:lineRule="auto"/>
      </w:pPr>
      <w:r>
        <w:tab/>
        <w:t xml:space="preserve">There is a pressing need to use statistical analyses capable of generating inferences based on </w:t>
      </w:r>
      <w:r w:rsidR="00913853">
        <w:t xml:space="preserve">(1) </w:t>
      </w:r>
      <w:r>
        <w:t xml:space="preserve">converging and aligning large amounts of process data and then </w:t>
      </w:r>
      <w:r w:rsidR="00913853">
        <w:t xml:space="preserve">(2) </w:t>
      </w:r>
      <w:r>
        <w:t>triangulating the process with the product data (Azevedo, 2009).</w:t>
      </w:r>
    </w:p>
    <w:p w:rsidR="00913853" w:rsidRDefault="00C97330" w:rsidP="00B131E1">
      <w:pPr>
        <w:spacing w:after="0" w:line="240" w:lineRule="auto"/>
      </w:pPr>
      <w:r>
        <w:tab/>
        <w:t>Finally, researchers should outline the rationale</w:t>
      </w:r>
      <w:r w:rsidR="007D24BE">
        <w:t xml:space="preserve"> for the design of scaffolding mechanisms by </w:t>
      </w:r>
      <w:r w:rsidR="00913853">
        <w:t xml:space="preserve">explaining </w:t>
      </w:r>
      <w:r w:rsidR="007D24BE">
        <w:t xml:space="preserve">(a) </w:t>
      </w:r>
      <w:r w:rsidR="00913853">
        <w:t xml:space="preserve">the </w:t>
      </w:r>
      <w:r w:rsidR="007D24BE">
        <w:t>process-oriented model</w:t>
      </w:r>
      <w:r w:rsidR="00913853">
        <w:t xml:space="preserve"> that</w:t>
      </w:r>
      <w:r w:rsidR="007D24BE">
        <w:t xml:space="preserve"> guide</w:t>
      </w:r>
      <w:r w:rsidR="00913853">
        <w:t>s</w:t>
      </w:r>
      <w:r w:rsidR="007D24BE">
        <w:t xml:space="preserve"> the design, and (b) the reasoning behind the </w:t>
      </w:r>
      <w:r w:rsidR="00913853">
        <w:t>design (Poitras, Lajoie, &amp; Hong, submitted). This enables researchers to formulate different and complementary approaches to the design of scaffolding mechanisms embedded in technology-rich learning environments.</w:t>
      </w:r>
      <w:r>
        <w:t xml:space="preserve"> </w:t>
      </w:r>
    </w:p>
    <w:p w:rsidR="006C59D2" w:rsidRDefault="006C59D2" w:rsidP="00B131E1">
      <w:pPr>
        <w:spacing w:after="0" w:line="240" w:lineRule="auto"/>
        <w:jc w:val="center"/>
      </w:pPr>
      <w:r>
        <w:t>References</w:t>
      </w:r>
    </w:p>
    <w:p w:rsidR="00FE1D32" w:rsidRDefault="00FE1D32" w:rsidP="00B131E1">
      <w:pPr>
        <w:spacing w:after="0" w:line="240" w:lineRule="auto"/>
        <w:ind w:hanging="284"/>
      </w:pPr>
      <w:r>
        <w:t xml:space="preserve">Azevedo, R. (2009). Theoretical, conceptual, methodological, and instructional issues in research on metacognition and self-regulated learning: A discussion. </w:t>
      </w:r>
      <w:r w:rsidRPr="006C59D2">
        <w:rPr>
          <w:i/>
        </w:rPr>
        <w:t>Metacognition &amp; Learning</w:t>
      </w:r>
      <w:r w:rsidRPr="006C59D2">
        <w:t>,</w:t>
      </w:r>
      <w:r w:rsidRPr="006C59D2">
        <w:rPr>
          <w:i/>
        </w:rPr>
        <w:t xml:space="preserve"> 4</w:t>
      </w:r>
      <w:r>
        <w:t xml:space="preserve">(1), 87-95. </w:t>
      </w:r>
    </w:p>
    <w:p w:rsidR="006C59D2" w:rsidRDefault="006C59D2" w:rsidP="00B131E1">
      <w:pPr>
        <w:spacing w:after="0" w:line="240" w:lineRule="auto"/>
        <w:ind w:hanging="284"/>
      </w:pPr>
      <w:r>
        <w:t xml:space="preserve">Lajoie, S. P. (2009). </w:t>
      </w:r>
      <w:proofErr w:type="gramStart"/>
      <w:r>
        <w:t>Developing professional expertise with a cognitive apprenticeship model: Examples from avionics and medicine.</w:t>
      </w:r>
      <w:proofErr w:type="gramEnd"/>
      <w:r>
        <w:t xml:space="preserve"> In K. A. Ericsson (Ed.), </w:t>
      </w:r>
      <w:r w:rsidRPr="006C59D2">
        <w:rPr>
          <w:i/>
        </w:rPr>
        <w:t>Development of professional expertise: Toward measurement of expert performance and design of optimal learning environments</w:t>
      </w:r>
      <w:r>
        <w:t xml:space="preserve"> (pp. 61-83). Cambridge, UK: Cambridge University Press.</w:t>
      </w:r>
    </w:p>
    <w:p w:rsidR="00FE1D32" w:rsidRPr="00FE1D32" w:rsidRDefault="00FE1D32" w:rsidP="00B131E1">
      <w:pPr>
        <w:spacing w:after="0" w:line="240" w:lineRule="auto"/>
        <w:ind w:hanging="284"/>
      </w:pPr>
      <w:proofErr w:type="gramStart"/>
      <w:r>
        <w:t>Lajoie, S. P., &amp; Azevedo, R. (2006).</w:t>
      </w:r>
      <w:proofErr w:type="gramEnd"/>
      <w:r>
        <w:t xml:space="preserve"> Teaching and learning in technology-rich learning environments. In P. Alexander &amp; P. Winne (Eds.), </w:t>
      </w:r>
      <w:r>
        <w:rPr>
          <w:i/>
        </w:rPr>
        <w:t xml:space="preserve">Handbook of educational psychology </w:t>
      </w:r>
      <w:r>
        <w:t>(2</w:t>
      </w:r>
      <w:r w:rsidRPr="00FE1D32">
        <w:rPr>
          <w:vertAlign w:val="superscript"/>
        </w:rPr>
        <w:t>nd</w:t>
      </w:r>
      <w:r>
        <w:t xml:space="preserve"> </w:t>
      </w:r>
      <w:proofErr w:type="gramStart"/>
      <w:r>
        <w:t>ed</w:t>
      </w:r>
      <w:proofErr w:type="gramEnd"/>
      <w:r>
        <w:t>.) (pp. 803-821). Mahwah, NJ: Laurence Erlbaum Associates.</w:t>
      </w:r>
    </w:p>
    <w:p w:rsidR="00FE1D32" w:rsidRPr="00FE1D32" w:rsidRDefault="00FE1D32" w:rsidP="00B131E1">
      <w:pPr>
        <w:spacing w:after="0" w:line="240" w:lineRule="auto"/>
        <w:ind w:hanging="284"/>
        <w:rPr>
          <w:rFonts w:eastAsia="Times New Roman" w:cs="Calibri"/>
          <w:color w:val="000000"/>
        </w:rPr>
      </w:pPr>
      <w:r w:rsidRPr="00FE1D32">
        <w:rPr>
          <w:rFonts w:eastAsia="Times New Roman" w:cs="Calibri"/>
          <w:color w:val="000000"/>
        </w:rPr>
        <w:t xml:space="preserve">Poitras, E., Lajoie, S.P., </w:t>
      </w:r>
      <w:r w:rsidRPr="00681C94">
        <w:rPr>
          <w:rFonts w:eastAsia="Times New Roman" w:cs="Calibri"/>
          <w:color w:val="000000"/>
        </w:rPr>
        <w:t xml:space="preserve">&amp; Hong, Y. (submitted). </w:t>
      </w:r>
      <w:proofErr w:type="gramStart"/>
      <w:r w:rsidRPr="00FE1D32">
        <w:rPr>
          <w:rFonts w:eastAsia="Times New Roman" w:cs="Calibri"/>
          <w:color w:val="000000"/>
        </w:rPr>
        <w:t>The Design of Technology-Rich Learning Environments as Metacognitive Tools in History Education.</w:t>
      </w:r>
      <w:proofErr w:type="gramEnd"/>
      <w:r w:rsidRPr="00FE1D32">
        <w:rPr>
          <w:rFonts w:eastAsia="Times New Roman" w:cs="Calibri"/>
          <w:color w:val="000000"/>
        </w:rPr>
        <w:t xml:space="preserve"> </w:t>
      </w:r>
      <w:r w:rsidRPr="00FE1D32">
        <w:rPr>
          <w:rFonts w:eastAsia="Times New Roman" w:cs="Calibri"/>
          <w:i/>
          <w:color w:val="000000"/>
        </w:rPr>
        <w:t>Instructional Science</w:t>
      </w:r>
    </w:p>
    <w:p w:rsidR="00FE1D32" w:rsidRDefault="00687ED3" w:rsidP="00B131E1">
      <w:pPr>
        <w:spacing w:after="0" w:line="240" w:lineRule="auto"/>
        <w:ind w:hanging="284"/>
      </w:pPr>
      <w:r>
        <w:t xml:space="preserve">Schraw, G. (2006). Knowledge: Structures and processes. </w:t>
      </w:r>
      <w:proofErr w:type="gramStart"/>
      <w:r>
        <w:t>In P. Alexander &amp; P. Winne (Eds.)</w:t>
      </w:r>
      <w:r w:rsidR="00FD473C">
        <w:t>,</w:t>
      </w:r>
      <w:r>
        <w:t xml:space="preserve"> </w:t>
      </w:r>
      <w:r w:rsidR="00FD473C" w:rsidRPr="00FD473C">
        <w:rPr>
          <w:i/>
        </w:rPr>
        <w:t>Handbook of educational psychology</w:t>
      </w:r>
      <w:r w:rsidR="00FD473C">
        <w:t xml:space="preserve"> (pp. 245-263).</w:t>
      </w:r>
      <w:proofErr w:type="gramEnd"/>
      <w:r w:rsidR="00FD473C">
        <w:t xml:space="preserve"> Mahwah, NJ: Erlbaum.</w:t>
      </w:r>
    </w:p>
    <w:sectPr w:rsidR="00FE1D32" w:rsidSect="003D1A8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20"/>
  <w:characterSpacingControl w:val="doNotCompress"/>
  <w:compat/>
  <w:rsids>
    <w:rsidRoot w:val="006C59D2"/>
    <w:rsid w:val="001C1C21"/>
    <w:rsid w:val="002753EC"/>
    <w:rsid w:val="003D1A83"/>
    <w:rsid w:val="00524DE6"/>
    <w:rsid w:val="005752B8"/>
    <w:rsid w:val="00681C94"/>
    <w:rsid w:val="00687ED3"/>
    <w:rsid w:val="006C59D2"/>
    <w:rsid w:val="006F1D4C"/>
    <w:rsid w:val="007D24BE"/>
    <w:rsid w:val="00911987"/>
    <w:rsid w:val="00913853"/>
    <w:rsid w:val="00927E1C"/>
    <w:rsid w:val="00A927A7"/>
    <w:rsid w:val="00B131E1"/>
    <w:rsid w:val="00C97330"/>
    <w:rsid w:val="00D57625"/>
    <w:rsid w:val="00D64334"/>
    <w:rsid w:val="00DC469B"/>
    <w:rsid w:val="00E53B26"/>
    <w:rsid w:val="00FD473C"/>
    <w:rsid w:val="00FE1D3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before="60" w:after="60"/>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625"/>
    <w:pPr>
      <w:spacing w:before="0" w:after="200" w:line="276" w:lineRule="auto"/>
      <w:ind w:left="0" w:firstLine="0"/>
    </w:pPr>
    <w:rPr>
      <w:rFonts w:ascii="Calibri" w:hAnsi="Calibri"/>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57625"/>
    <w:rPr>
      <w:b/>
      <w:bCs/>
    </w:rPr>
  </w:style>
  <w:style w:type="character" w:styleId="Emphasis">
    <w:name w:val="Emphasis"/>
    <w:basedOn w:val="DefaultParagraphFont"/>
    <w:uiPriority w:val="99"/>
    <w:qFormat/>
    <w:rsid w:val="00D57625"/>
    <w:rPr>
      <w:b/>
      <w:bCs/>
      <w:i w:val="0"/>
      <w:iCs w:val="0"/>
    </w:rPr>
  </w:style>
  <w:style w:type="paragraph" w:customStyle="1" w:styleId="Style1">
    <w:name w:val="Style1"/>
    <w:basedOn w:val="Normal"/>
    <w:link w:val="Style1Char"/>
    <w:qFormat/>
    <w:rsid w:val="00D57625"/>
    <w:pPr>
      <w:jc w:val="center"/>
    </w:pPr>
    <w:rPr>
      <w:rFonts w:ascii="Arial" w:eastAsia="Times New Roman" w:hAnsi="Arial" w:cs="Arial"/>
      <w:sz w:val="24"/>
    </w:rPr>
  </w:style>
  <w:style w:type="character" w:customStyle="1" w:styleId="Style1Char">
    <w:name w:val="Style1 Char"/>
    <w:basedOn w:val="DefaultParagraphFont"/>
    <w:link w:val="Style1"/>
    <w:rsid w:val="00D57625"/>
    <w:rPr>
      <w:rFonts w:ascii="Arial" w:eastAsia="Times New Roman" w:hAnsi="Arial" w:cs="Arial"/>
      <w:sz w:val="24"/>
      <w:lang w:eastAsia="en-CA"/>
    </w:rPr>
  </w:style>
  <w:style w:type="paragraph" w:customStyle="1" w:styleId="Style2">
    <w:name w:val="Style2"/>
    <w:basedOn w:val="Normal"/>
    <w:link w:val="Style2Char"/>
    <w:qFormat/>
    <w:rsid w:val="00D57625"/>
    <w:pPr>
      <w:spacing w:after="0" w:line="480" w:lineRule="auto"/>
      <w:jc w:val="center"/>
    </w:pPr>
    <w:rPr>
      <w:rFonts w:ascii="Arial" w:eastAsia="Times New Roman" w:hAnsi="Arial" w:cs="Arial"/>
      <w:b/>
      <w:sz w:val="24"/>
    </w:rPr>
  </w:style>
  <w:style w:type="character" w:customStyle="1" w:styleId="Style2Char">
    <w:name w:val="Style2 Char"/>
    <w:basedOn w:val="DefaultParagraphFont"/>
    <w:link w:val="Style2"/>
    <w:rsid w:val="00D57625"/>
    <w:rPr>
      <w:rFonts w:ascii="Arial" w:eastAsia="Times New Roman" w:hAnsi="Arial" w:cs="Arial"/>
      <w:b/>
      <w:sz w:val="24"/>
      <w:lang w:eastAsia="en-CA"/>
    </w:rPr>
  </w:style>
  <w:style w:type="paragraph" w:customStyle="1" w:styleId="Style3">
    <w:name w:val="Style3"/>
    <w:basedOn w:val="Normal"/>
    <w:link w:val="Style3Char"/>
    <w:qFormat/>
    <w:rsid w:val="00D57625"/>
    <w:pPr>
      <w:spacing w:after="0" w:line="480" w:lineRule="auto"/>
      <w:jc w:val="center"/>
    </w:pPr>
    <w:rPr>
      <w:rFonts w:ascii="Arial" w:eastAsia="Times New Roman" w:hAnsi="Arial" w:cs="Arial"/>
      <w:b/>
      <w:sz w:val="24"/>
    </w:rPr>
  </w:style>
  <w:style w:type="character" w:customStyle="1" w:styleId="Style3Char">
    <w:name w:val="Style3 Char"/>
    <w:basedOn w:val="DefaultParagraphFont"/>
    <w:link w:val="Style3"/>
    <w:rsid w:val="00D57625"/>
    <w:rPr>
      <w:rFonts w:ascii="Arial" w:eastAsia="Times New Roman" w:hAnsi="Arial" w:cs="Arial"/>
      <w:b/>
      <w:sz w:val="24"/>
      <w:lang w:eastAsia="en-CA"/>
    </w:rPr>
  </w:style>
  <w:style w:type="paragraph" w:customStyle="1" w:styleId="Style4">
    <w:name w:val="Style4"/>
    <w:basedOn w:val="Normal"/>
    <w:link w:val="Style4Char"/>
    <w:qFormat/>
    <w:rsid w:val="00D57625"/>
    <w:pPr>
      <w:spacing w:after="0" w:line="480" w:lineRule="auto"/>
    </w:pPr>
    <w:rPr>
      <w:rFonts w:ascii="Arial" w:eastAsia="Times New Roman" w:hAnsi="Arial" w:cs="Arial"/>
      <w:b/>
      <w:sz w:val="24"/>
    </w:rPr>
  </w:style>
  <w:style w:type="character" w:customStyle="1" w:styleId="Style4Char">
    <w:name w:val="Style4 Char"/>
    <w:basedOn w:val="DefaultParagraphFont"/>
    <w:link w:val="Style4"/>
    <w:rsid w:val="00D57625"/>
    <w:rPr>
      <w:rFonts w:ascii="Arial" w:eastAsia="Times New Roman" w:hAnsi="Arial" w:cs="Arial"/>
      <w:b/>
      <w:sz w:val="24"/>
      <w:lang w:eastAsia="en-CA"/>
    </w:rPr>
  </w:style>
</w:styles>
</file>

<file path=word/webSettings.xml><?xml version="1.0" encoding="utf-8"?>
<w:webSettings xmlns:r="http://schemas.openxmlformats.org/officeDocument/2006/relationships" xmlns:w="http://schemas.openxmlformats.org/wordprocessingml/2006/main">
  <w:divs>
    <w:div w:id="92546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6</cp:revision>
  <dcterms:created xsi:type="dcterms:W3CDTF">2010-09-04T02:25:00Z</dcterms:created>
  <dcterms:modified xsi:type="dcterms:W3CDTF">2010-09-04T19:25:00Z</dcterms:modified>
</cp:coreProperties>
</file>